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rPr/>
      </w:pPr>
      <w:r>
        <w:rPr/>
      </w:r>
    </w:p>
    <w:tbl>
      <w:tblPr>
        <w:tblW w:w="8740" w:type="dxa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338"/>
        <w:gridCol w:w="7401"/>
      </w:tblGrid>
      <w:tr>
        <w:trPr>
          <w:trHeight w:val="1681" w:hRule="atLeast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-55" w:hanging="0"/>
              <w:jc w:val="center"/>
              <w:rPr>
                <w:sz w:val="26"/>
                <w:szCs w:val="26"/>
                <w:lang w:val="sk-SK" w:eastAsia="sk-SK"/>
              </w:rPr>
            </w:pPr>
            <w:r>
              <w:rPr>
                <w:sz w:val="26"/>
                <w:szCs w:val="26"/>
                <w:lang w:val="sk-SK" w:eastAsia="sk-SK"/>
              </w:rPr>
              <w:drawing>
                <wp:anchor behindDoc="1" distT="0" distB="0" distL="114935" distR="114935" simplePos="0" locked="0" layoutInCell="1" allowOverlap="1" relativeHeight="2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222250</wp:posOffset>
                  </wp:positionV>
                  <wp:extent cx="742950" cy="742950"/>
                  <wp:effectExtent l="0" t="0" r="0" b="0"/>
                  <wp:wrapNone/>
                  <wp:docPr id="1" name="Obrázok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9" t="-9" r="-9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Výpis z Uznesenia 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rPr/>
            </w:pPr>
            <w:r>
              <w:rPr>
                <w:rFonts w:cs="Arial" w:ascii="Arial" w:hAnsi="Arial"/>
                <w:sz w:val="26"/>
                <w:szCs w:val="26"/>
              </w:rPr>
              <w:t>č. 6</w:t>
            </w:r>
          </w:p>
          <w:p>
            <w:pPr>
              <w:pStyle w:val="Nadpis1"/>
              <w:numPr>
                <w:ilvl w:val="0"/>
                <w:numId w:val="0"/>
              </w:numPr>
              <w:snapToGrid w:val="false"/>
              <w:spacing w:lineRule="auto" w:line="360"/>
              <w:ind w:left="0" w:hanging="0"/>
              <w:jc w:val="left"/>
              <w:rPr/>
            </w:pPr>
            <w:r>
              <w:rPr>
                <w:rFonts w:eastAsia="Times New Roman"/>
                <w:b w:val="false"/>
                <w:bCs w:val="false"/>
                <w:kern w:val="0"/>
                <w:sz w:val="24"/>
              </w:rPr>
              <w:t xml:space="preserve">                </w:t>
            </w:r>
            <w:r>
              <w:rPr>
                <w:rFonts w:cs="Arial" w:ascii="Arial" w:hAnsi="Arial"/>
                <w:sz w:val="26"/>
                <w:szCs w:val="26"/>
              </w:rPr>
              <w:t>Obecného zastupiteľstva v Nýrovciach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rPr/>
            </w:pPr>
            <w:r>
              <w:rPr>
                <w:rFonts w:cs="Arial" w:ascii="Arial" w:hAnsi="Arial"/>
                <w:sz w:val="26"/>
                <w:szCs w:val="26"/>
              </w:rPr>
              <w:t>zo dňa 21.12.2018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/>
        <w:ind w:left="0" w:right="0" w:hanging="0"/>
        <w:jc w:val="both"/>
        <w:rPr/>
      </w:pPr>
      <w:r>
        <w:rPr/>
        <w:t xml:space="preserve">Obecné zastupiteľstvo v Nýrovciach v zmysle ustanovenia § 9a ods. 8 písm. e) zákona č. 138/1991 Zb. o majetku obcí v znení neskorších predpisov  </w:t>
      </w:r>
    </w:p>
    <w:p>
      <w:pPr>
        <w:pStyle w:val="Normal"/>
        <w:spacing w:lineRule="auto" w:line="276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b/>
          <w:bCs/>
        </w:rPr>
        <w:t>A/ s c h v a ľ u j e</w:t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b/>
          <w:bCs/>
        </w:rPr>
        <w:t xml:space="preserve"> </w:t>
      </w:r>
    </w:p>
    <w:p>
      <w:pPr>
        <w:pStyle w:val="Normal"/>
        <w:spacing w:lineRule="auto" w:line="276"/>
        <w:ind w:left="0" w:right="0" w:hanging="0"/>
        <w:jc w:val="both"/>
        <w:rPr/>
      </w:pPr>
      <w:r>
        <w:rPr/>
        <w:t xml:space="preserve">prevod vlastníctva nehnuteľného majetku obce – pozemkov v k. ú. Nýrovce, a to: </w:t>
      </w:r>
    </w:p>
    <w:p>
      <w:pPr>
        <w:pStyle w:val="Normal"/>
        <w:spacing w:lineRule="auto" w:line="276"/>
        <w:ind w:left="0" w:right="0" w:hanging="0"/>
        <w:jc w:val="both"/>
        <w:rPr/>
      </w:pPr>
      <w:r>
        <w:rPr/>
        <w:t>parcely reg.  C KN,</w:t>
      </w:r>
    </w:p>
    <w:p>
      <w:pPr>
        <w:pStyle w:val="Normal"/>
        <w:spacing w:lineRule="auto" w:line="276"/>
        <w:ind w:left="0" w:right="0" w:hanging="0"/>
        <w:jc w:val="both"/>
        <w:rPr/>
      </w:pPr>
      <w:r>
        <w:rPr/>
        <w:t>1) novovytvorená parcela č. 152/4 o výmere 88 m2 – zastavaná plocha a nádvorie, vyčlenená geometrickým plánom č. 274/2018 z pôvodnej parcely vo vlastníctve obce C KN č. 152 o výmere 15960 m2 – zastavaná plocha a nádvorie, LV č. 1,</w:t>
      </w:r>
    </w:p>
    <w:p>
      <w:pPr>
        <w:pStyle w:val="Normal"/>
        <w:spacing w:lineRule="auto" w:line="276"/>
        <w:ind w:left="0" w:right="0" w:hanging="0"/>
        <w:jc w:val="both"/>
        <w:rPr/>
      </w:pPr>
      <w:r>
        <w:rPr/>
      </w:r>
    </w:p>
    <w:p>
      <w:pPr>
        <w:pStyle w:val="Normal"/>
        <w:spacing w:lineRule="auto" w:line="276"/>
        <w:ind w:left="0" w:right="0" w:hanging="0"/>
        <w:jc w:val="both"/>
        <w:rPr/>
      </w:pPr>
      <w:r>
        <w:rPr/>
        <w:t>2) novovytvorená parcela č. 1403/4 o výmere 206 m2 – zastavaná plocha a nádvorie vyčlenená geometrickým plánom č. 274/2018  z pôvodnej parcely vo vlastníctve obce C KN č. 1403/3 o výmere 1008 m2 – zastavaná plocha a nádvorie, LV č. 1,</w:t>
      </w:r>
    </w:p>
    <w:p>
      <w:pPr>
        <w:pStyle w:val="Normal"/>
        <w:spacing w:lineRule="auto" w:line="276"/>
        <w:ind w:left="0" w:right="0" w:hanging="0"/>
        <w:jc w:val="both"/>
        <w:rPr/>
      </w:pPr>
      <w:bookmarkStart w:id="0" w:name="__DdeLink__1174_2086175931"/>
      <w:r>
        <w:rPr/>
        <w:t xml:space="preserve"> </w:t>
      </w:r>
      <w:bookmarkEnd w:id="0"/>
    </w:p>
    <w:p>
      <w:pPr>
        <w:pStyle w:val="Normal"/>
        <w:spacing w:lineRule="auto" w:line="276"/>
        <w:ind w:left="0" w:right="0" w:hanging="0"/>
        <w:jc w:val="both"/>
        <w:rPr/>
      </w:pPr>
      <w:r>
        <w:rPr/>
        <w:t xml:space="preserve">pre kupujúcich </w:t>
      </w:r>
    </w:p>
    <w:p>
      <w:pPr>
        <w:pStyle w:val="Normal"/>
        <w:spacing w:lineRule="auto" w:line="276"/>
        <w:jc w:val="both"/>
        <w:rPr/>
      </w:pPr>
      <w:r>
        <w:rPr>
          <w:b/>
        </w:rPr>
        <w:t xml:space="preserve">Dezider Pólya, rod. Pólya,  </w:t>
      </w:r>
      <w:r>
        <w:rPr/>
        <w:t>nar. 05.07.1969, rodné číslo: 690715/6685, trvalý pobyt: 935 67  Nýrovce č. 137, občan SR</w:t>
      </w:r>
    </w:p>
    <w:p>
      <w:pPr>
        <w:pStyle w:val="Normal"/>
        <w:spacing w:lineRule="auto" w:line="276"/>
        <w:jc w:val="both"/>
        <w:rPr/>
      </w:pPr>
      <w:r>
        <w:rPr>
          <w:b/>
        </w:rPr>
        <w:t>a manželka Andrea Pólyová</w:t>
      </w:r>
      <w:r>
        <w:rPr/>
        <w:t>, rod. Cseriová, nar. 17.09.1973, rodné číslo: 735917/6715 trvalý pobyt: 935 67  Nýrovce č. 137, občan SR</w:t>
      </w:r>
    </w:p>
    <w:p>
      <w:pPr>
        <w:pStyle w:val="Normal"/>
        <w:spacing w:lineRule="auto" w:line="276"/>
        <w:ind w:left="0" w:right="0" w:hanging="0"/>
        <w:jc w:val="both"/>
        <w:rPr/>
      </w:pPr>
      <w:r>
        <w:rPr/>
        <w:t>priamym predajom za predajnú cenu 1,00 EUR / m2, t. j. 294,00 EUR (Dvestoštyridsaťdeväť eur)</w:t>
      </w:r>
    </w:p>
    <w:p>
      <w:pPr>
        <w:pStyle w:val="Normal"/>
        <w:spacing w:lineRule="auto" w:line="276"/>
        <w:ind w:left="0" w:right="0" w:hanging="0"/>
        <w:jc w:val="both"/>
        <w:rPr/>
      </w:pPr>
      <w:r>
        <w:rPr/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b/>
          <w:bCs/>
        </w:rPr>
        <w:t xml:space="preserve">Spôsob prevodu majetku </w:t>
      </w:r>
      <w:r>
        <w:rPr/>
        <w:t>obce je z dôvodu osobitného zreteľa podľa ustanovenia § 9a ods. 8 písm. e) zákona SNR č. 138/1991 Zb. o majetku obcí v znení neskorších predpisov o čom rozhodlo obecné zastupiteľstvo trojpätinovou väčšinou všetkých poslancov.</w:t>
      </w:r>
    </w:p>
    <w:p>
      <w:pPr>
        <w:pStyle w:val="Normal"/>
        <w:spacing w:lineRule="auto" w:line="276"/>
        <w:ind w:left="0" w:right="0" w:hanging="0"/>
        <w:jc w:val="both"/>
        <w:rPr/>
      </w:pPr>
      <w:r>
        <w:rPr/>
      </w:r>
    </w:p>
    <w:p>
      <w:pPr>
        <w:pStyle w:val="Normal"/>
        <w:spacing w:lineRule="auto" w:line="276"/>
        <w:ind w:left="0" w:right="0" w:hanging="0"/>
        <w:jc w:val="both"/>
        <w:rPr/>
      </w:pPr>
      <w:r>
        <w:rPr/>
        <w:t xml:space="preserve">O predaji kupujúcemu priamym predajom rokovalo Obecné zastupiteľstvo uznesením č. 6 na riadnom zasadnutí obecného zastupiteľstva konanom dňa 21.12.2018 viac ako 3/5-inou väčšinou hlasov všetkých poslancov, keď za prijatie uznesenia hlasovali 4 poslanci z celkového počtu prítomných 4 poslancov. </w:t>
      </w:r>
    </w:p>
    <w:p>
      <w:pPr>
        <w:pStyle w:val="Normal"/>
        <w:spacing w:lineRule="auto" w:line="276"/>
        <w:ind w:left="0" w:right="0" w:hanging="0"/>
        <w:jc w:val="both"/>
        <w:rPr/>
      </w:pPr>
      <w:r>
        <w:rPr/>
      </w:r>
    </w:p>
    <w:p>
      <w:pPr>
        <w:pStyle w:val="Normal"/>
        <w:spacing w:lineRule="auto" w:line="276"/>
        <w:ind w:left="0" w:right="0" w:hanging="0"/>
        <w:jc w:val="both"/>
        <w:rPr/>
      </w:pPr>
      <w:r>
        <w:rPr/>
        <w:t xml:space="preserve">Obecné zastupiteľstvo odsúhlasil kúpnu cenu pozemkov: </w:t>
      </w:r>
    </w:p>
    <w:p>
      <w:pPr>
        <w:pStyle w:val="Normal"/>
        <w:ind w:left="360" w:hanging="0"/>
        <w:jc w:val="both"/>
        <w:rPr/>
      </w:pPr>
      <w:r>
        <w:rPr/>
        <w:t>- v sume 1,00 €/m2 za pozemok parc. č. 152/4 – zastavaná plocha a nádvoria o výmere 88 m2 , čo predstavuje 88,00 € (Slovom: Osemdesiatosem eur)</w:t>
      </w:r>
    </w:p>
    <w:p>
      <w:pPr>
        <w:pStyle w:val="Normal"/>
        <w:ind w:left="360" w:hanging="0"/>
        <w:jc w:val="both"/>
        <w:rPr/>
      </w:pPr>
      <w:r>
        <w:rPr/>
        <w:t>- v sume1,00 € za pozemok parc. č. 1403/4 – zastavaná plocha a nádvorie o výmere 206 m2, čo predstavuje 206,00 € (Slovom: Dvestošesť eur)</w:t>
      </w:r>
    </w:p>
    <w:p>
      <w:pPr>
        <w:pStyle w:val="Normal"/>
        <w:ind w:left="360" w:hanging="0"/>
        <w:jc w:val="both"/>
        <w:rPr/>
      </w:pPr>
      <w:r>
        <w:rPr/>
        <w:t>celkom za pozemky: 294,00 € (Dvestodeväťdesiatštyri eur)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spacing w:lineRule="auto" w:line="276"/>
        <w:ind w:left="0" w:right="0" w:hanging="0"/>
        <w:jc w:val="both"/>
        <w:rPr/>
      </w:pPr>
      <w:r>
        <w:rPr/>
        <w:t>Uznesenie bolo schválené viac ako 3/5-inou väčšinou hlasov všetkých poslancov, keď za prijatie uznesenia hlasovali 4 poslanci z celkového počtu  4 prítomných poslancov.</w:t>
      </w:r>
    </w:p>
    <w:p>
      <w:pPr>
        <w:pStyle w:val="Normal"/>
        <w:spacing w:lineRule="auto" w:line="276"/>
        <w:ind w:left="0" w:right="0" w:hanging="0"/>
        <w:jc w:val="both"/>
        <w:rPr/>
      </w:pPr>
      <w:r>
        <w:rPr/>
      </w:r>
    </w:p>
    <w:p>
      <w:pPr>
        <w:pStyle w:val="Normal"/>
        <w:spacing w:lineRule="auto" w:line="276"/>
        <w:ind w:left="0" w:right="0" w:hanging="0"/>
        <w:jc w:val="both"/>
        <w:rPr/>
      </w:pPr>
      <w:r>
        <w:rPr/>
        <w:t xml:space="preserve">Dôvod hodný osobitného zreteľa spočíva v tom, že ide o prevod nehnuteľností – novovytvorených parciel, že pozemok, ktorý Obec Nýrovce dlhodobo nevyužíva, bezprostredne susedí s nehnuteľnosťou (pozemkom a rodinným domom) vo vlastníctve kupujúcich, ktorí majú záujem o kúpu a o scelenie a udržiavanie uvedeného pozemku, pričom predmet prevodu je aj v súčasnosti udržiavaný na náklady žiadateľov. </w:t>
      </w:r>
    </w:p>
    <w:p>
      <w:pPr>
        <w:pStyle w:val="Normal"/>
        <w:spacing w:lineRule="auto" w:line="276"/>
        <w:jc w:val="both"/>
        <w:rPr/>
      </w:pPr>
      <w:r>
        <w:rPr/>
        <w:t>Predajom pozemku vznikne majetkoprávne usporiadaný celok vo vlastníctve kupujúcich.</w:t>
      </w:r>
    </w:p>
    <w:p>
      <w:pPr>
        <w:pStyle w:val="Normal"/>
        <w:spacing w:lineRule="auto" w:line="276"/>
        <w:ind w:left="0" w:right="0" w:hanging="0"/>
        <w:jc w:val="both"/>
        <w:rPr/>
      </w:pPr>
      <w:r>
        <w:rPr/>
        <w:t>Predmet kúpy je vo vlastníctve Obce Nýrovce. Pozemky nedokáže obec vzhľadom na  parametre nijak inak efektívne hospodársky využiť.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>
          <w:b/>
        </w:rPr>
        <w:t>B:  p o v e r u j e</w:t>
      </w:r>
    </w:p>
    <w:p>
      <w:pPr>
        <w:pStyle w:val="Normal"/>
        <w:spacing w:lineRule="auto" w:line="360"/>
        <w:jc w:val="both"/>
        <w:rPr/>
      </w:pPr>
      <w:r>
        <w:rPr>
          <w:b/>
        </w:rPr>
        <w:t>starostu obce podpísaním kúpnej  zmluvy.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/>
        <w:t xml:space="preserve">Z vyššie uvedeného  Obec Nýrovce prevedie nehnuteľnosť obce </w:t>
      </w:r>
      <w:r>
        <w:rPr>
          <w:b/>
        </w:rPr>
        <w:t xml:space="preserve">priamym predajom </w:t>
      </w:r>
      <w:r>
        <w:rPr/>
        <w:t xml:space="preserve">do  bezpodielového spoluvlastníctva manželov:  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/>
        <w:t>Dezider Pólya, rod. Pólya, nar. 15.07.1969, rod. číslo: 690715/6685, trvalý pobyt: 935 67  Nýrovce č. 137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b/>
        </w:rPr>
        <w:t>a manželka Andrea Pólyová</w:t>
      </w:r>
      <w:r>
        <w:rPr/>
        <w:t xml:space="preserve">, rod. Cseriová, nar. 17.09.1973, rod. číslo: 735917/6715, trvalý pobyt: 935 67  Nýrovce č. 137,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/>
        <w:t xml:space="preserve">spoluvlastnícky podiel 1/1.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/>
        <w:tab/>
        <w:tab/>
        <w:tab/>
        <w:tab/>
        <w:tab/>
        <w:tab/>
        <w:tab/>
        <w:tab/>
        <w:tab/>
        <w:t>Ing. Zoltán Fekete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 xml:space="preserve">   starosta obce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  <w:kern w:val="2"/>
      <w:sz w:val="32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LibreOffice/6.1.0.3$Windows_x86 LibreOffice_project/efb621ed25068d70781dc026f7e9c5187a4decd1</Application>
  <Pages>3</Pages>
  <Words>510</Words>
  <Characters>2822</Characters>
  <CharactersWithSpaces>3373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2019-04-03T12:01:29Z</dcterms:created>
  <dc:creator/>
  <dc:description/>
  <dc:language>sk-SK</dc:language>
  <cp:lastModifiedBy/>
  <dcterms:modified xsi:type="dcterms:W3CDTF">2019-04-03T12:03:18Z</dcterms:modified>
  <cp:revision>1</cp:revision>
  <dc:subject/>
  <dc:title/>
</cp:coreProperties>
</file>